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6AC6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35681E6A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684CA148" w14:textId="43191C86" w:rsidR="00A13DC7" w:rsidRDefault="00A13DC7" w:rsidP="0079741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,Bold" w:hAnsi="Century Gothic,Bold" w:cs="Century Gothic,Bold"/>
          <w:b/>
          <w:bCs/>
          <w:sz w:val="24"/>
          <w:szCs w:val="24"/>
        </w:rPr>
      </w:pPr>
      <w:r>
        <w:rPr>
          <w:rFonts w:ascii="Century Gothic,Bold" w:hAnsi="Century Gothic,Bold" w:cs="Century Gothic,Bold"/>
          <w:b/>
          <w:bCs/>
          <w:sz w:val="24"/>
          <w:szCs w:val="24"/>
        </w:rPr>
        <w:t>Vereinbarung</w:t>
      </w:r>
    </w:p>
    <w:p w14:paraId="68AE129D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00CC1758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5ED43526" w14:textId="6B1ED6A5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Z</w:t>
      </w:r>
      <w:r>
        <w:rPr>
          <w:rFonts w:ascii="Century Gothic" w:hAnsi="Century Gothic" w:cs="Century Gothic"/>
          <w:sz w:val="24"/>
          <w:szCs w:val="24"/>
        </w:rPr>
        <w:t>wischen</w:t>
      </w:r>
    </w:p>
    <w:p w14:paraId="3F260778" w14:textId="191D76A6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1A5D77C7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0E07E586" w14:textId="528DEAB5" w:rsidR="00A13DC7" w:rsidRDefault="00A13DC7" w:rsidP="00797410">
      <w:pPr>
        <w:autoSpaceDE w:val="0"/>
        <w:autoSpaceDN w:val="0"/>
        <w:adjustRightInd w:val="0"/>
        <w:spacing w:after="0" w:line="276" w:lineRule="auto"/>
        <w:ind w:firstLine="70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dem 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 xml:space="preserve">Schützenverein 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>XYZ</w:t>
      </w:r>
      <w:r>
        <w:rPr>
          <w:rFonts w:ascii="Century Gothic" w:hAnsi="Century Gothic" w:cs="Century Gothic"/>
          <w:sz w:val="24"/>
          <w:szCs w:val="24"/>
        </w:rPr>
        <w:t xml:space="preserve"> e.V.</w:t>
      </w:r>
    </w:p>
    <w:p w14:paraId="486CA228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2EA8F880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5FFCFCAD" w14:textId="0A95C4BB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und</w:t>
      </w:r>
    </w:p>
    <w:p w14:paraId="1EC9B123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3E5FE308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07765F21" w14:textId="3A9D44A9" w:rsidR="00A13DC7" w:rsidRDefault="00A13DC7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dem Mieter</w:t>
      </w:r>
    </w:p>
    <w:p w14:paraId="26C39E5C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</w:p>
    <w:p w14:paraId="632C2624" w14:textId="7F95895D" w:rsidR="00A13DC7" w:rsidRDefault="00A13DC7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</w:t>
      </w:r>
    </w:p>
    <w:p w14:paraId="24D16569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</w:p>
    <w:p w14:paraId="2FC012EA" w14:textId="157A5B6F" w:rsidR="00A13DC7" w:rsidRDefault="00A13DC7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</w:t>
      </w:r>
    </w:p>
    <w:p w14:paraId="12127E47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</w:p>
    <w:p w14:paraId="7E858D0A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ind w:left="70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</w:t>
      </w:r>
    </w:p>
    <w:p w14:paraId="5C6735BD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3159D937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4D7E47A3" w14:textId="23654401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für die Nutzung der Schützenhalle in 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>Ort XYZ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>,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 xml:space="preserve"> S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>traße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 xml:space="preserve"> XYZ</w:t>
      </w:r>
      <w:r>
        <w:rPr>
          <w:rFonts w:ascii="Century Gothic" w:hAnsi="Century Gothic" w:cs="Century Gothic"/>
          <w:sz w:val="24"/>
          <w:szCs w:val="24"/>
        </w:rPr>
        <w:t>.</w:t>
      </w:r>
    </w:p>
    <w:p w14:paraId="008F247E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Diese Vereinbarung gilt ergänzend zum Mietvertrag vom </w:t>
      </w:r>
      <w:r w:rsidRPr="00A13DC7">
        <w:rPr>
          <w:rFonts w:ascii="Century Gothic" w:hAnsi="Century Gothic" w:cs="Century Gothic"/>
          <w:sz w:val="24"/>
          <w:szCs w:val="24"/>
          <w:highlight w:val="yellow"/>
        </w:rPr>
        <w:t>____________</w:t>
      </w:r>
    </w:p>
    <w:p w14:paraId="0D621BD2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1F3A5B1C" w14:textId="2136E02A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5142634E" w14:textId="7AE87C14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ECF5D0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0E7794F2" w14:textId="07D205EF" w:rsidR="00A13DC7" w:rsidRPr="00D21E28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D21E28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Pflichten der Mietvertragsparteien nach dem Infektionsschutzgesetz (IfSG)</w:t>
      </w:r>
    </w:p>
    <w:p w14:paraId="735F6DDB" w14:textId="77777777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5888A496" w14:textId="1B8E7C40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Der deutsche Gesetzgeber hat im Infektionsschutzgesetz (IfSG) normiert, wie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im Falle des Auftretens ansteckender und </w:t>
      </w:r>
      <w:proofErr w:type="gramStart"/>
      <w:r>
        <w:rPr>
          <w:rFonts w:ascii="Century Gothic" w:hAnsi="Century Gothic" w:cs="Century Gothic"/>
          <w:sz w:val="24"/>
          <w:szCs w:val="24"/>
        </w:rPr>
        <w:t>potentiell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tödlicher Krankheiten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beim Menschen zu verfahren ist. Im IfSG ist geregelt, welche behördlichen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Zwangsmaßnahmen möglich sind und welche Pflichten für jeden Bürger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bestehen. Hierdurch ergeben sich auch für sie als Mieter bestimmte Pflichten.</w:t>
      </w:r>
      <w:r w:rsidR="003C7289">
        <w:rPr>
          <w:rFonts w:ascii="Century Gothic" w:hAnsi="Century Gothic" w:cs="Century Gothic"/>
          <w:sz w:val="24"/>
          <w:szCs w:val="24"/>
        </w:rPr>
        <w:br/>
      </w:r>
      <w:r>
        <w:rPr>
          <w:rFonts w:ascii="Century Gothic" w:hAnsi="Century Gothic" w:cs="Century Gothic"/>
          <w:sz w:val="24"/>
          <w:szCs w:val="24"/>
        </w:rPr>
        <w:t>Nach § 6 IfSG ist jeder Verdacht einer Erkrankung, jede Erkrankung und jeder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Tod aufgrund einer Infektion mit bestimmten, ansteckenden Krankheiten wie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Cholera oder Masern nicht nur den Behörden, </w:t>
      </w:r>
      <w:r>
        <w:rPr>
          <w:rFonts w:ascii="Century Gothic,Bold" w:hAnsi="Century Gothic,Bold" w:cs="Century Gothic,Bold"/>
          <w:b/>
          <w:bCs/>
          <w:sz w:val="24"/>
          <w:szCs w:val="24"/>
        </w:rPr>
        <w:t>sondern auch dem Vermieter</w:t>
      </w:r>
      <w:r w:rsidR="003C7289">
        <w:rPr>
          <w:rFonts w:ascii="Century Gothic,Bold" w:hAnsi="Century Gothic,Bold" w:cs="Century Gothic,Bold"/>
          <w:b/>
          <w:bCs/>
          <w:sz w:val="24"/>
          <w:szCs w:val="24"/>
        </w:rPr>
        <w:t xml:space="preserve"> </w:t>
      </w:r>
      <w:r>
        <w:rPr>
          <w:rFonts w:ascii="Century Gothic,Bold" w:hAnsi="Century Gothic,Bold" w:cs="Century Gothic,Bold"/>
          <w:b/>
          <w:bCs/>
          <w:sz w:val="24"/>
          <w:szCs w:val="24"/>
        </w:rPr>
        <w:t>unverzüglich zu melden</w:t>
      </w:r>
      <w:r>
        <w:rPr>
          <w:rFonts w:ascii="Century Gothic" w:hAnsi="Century Gothic" w:cs="Century Gothic"/>
          <w:sz w:val="24"/>
          <w:szCs w:val="24"/>
        </w:rPr>
        <w:t>; die Meldepflicht ist daher im Innenverhältnis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ausschließlich auf den Mieter </w:t>
      </w:r>
      <w:r w:rsidR="00D21E28">
        <w:rPr>
          <w:rFonts w:ascii="Century Gothic" w:hAnsi="Century Gothic" w:cs="Century Gothic"/>
          <w:sz w:val="24"/>
          <w:szCs w:val="24"/>
        </w:rPr>
        <w:t>delegiert</w:t>
      </w:r>
      <w:r>
        <w:rPr>
          <w:rFonts w:ascii="Century Gothic" w:hAnsi="Century Gothic" w:cs="Century Gothic"/>
          <w:sz w:val="24"/>
          <w:szCs w:val="24"/>
        </w:rPr>
        <w:t>. Das Corona-Virus ist noch so neu, dass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das Gesetz nicht ausdrücklich den Umgang auch mit diesem Virus regelt. Die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lastRenderedPageBreak/>
        <w:t>durch das Corona-Virus hervorgerufene Krankheit COVID-19 ist jedoch in ihrer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 w:cs="Century Gothic"/>
          <w:sz w:val="24"/>
          <w:szCs w:val="24"/>
        </w:rPr>
        <w:t>potentiellen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Gefahr mit den vom IfSG erfassten ansteckenden Krankheiten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beim Menschen vergleichbar. Es wurde daher am 30. Januar 2020 eigens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eine Verordnung (2019-nCoVMeldVO) erlassen, welche die möglichen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Maßnahmen aus dem IfSG auch auf das Corona-Virus ausdehnt.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 w:rsidR="003C7289">
        <w:rPr>
          <w:rFonts w:ascii="Century Gothic" w:hAnsi="Century Gothic" w:cs="Century Gothic"/>
          <w:sz w:val="24"/>
          <w:szCs w:val="24"/>
        </w:rPr>
        <w:br/>
      </w:r>
      <w:r w:rsidR="003C7289">
        <w:rPr>
          <w:rFonts w:ascii="Century Gothic" w:hAnsi="Century Gothic" w:cs="Century Gothic"/>
          <w:sz w:val="24"/>
          <w:szCs w:val="24"/>
        </w:rPr>
        <w:br/>
      </w:r>
      <w:r>
        <w:rPr>
          <w:rFonts w:ascii="Century Gothic" w:hAnsi="Century Gothic" w:cs="Century Gothic"/>
          <w:sz w:val="24"/>
          <w:szCs w:val="24"/>
        </w:rPr>
        <w:t>Nach dem IfSG können die zuständigen Behörden umfassende Maßnahmen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zur Verhütung und zur Bekämpfung der Verbreitung schon bei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Verdachtsfällen anordnen. Die Meldepflicht nach den §§ 6 ff. IfSG wurde mit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Blick </w:t>
      </w:r>
      <w:proofErr w:type="gramStart"/>
      <w:r>
        <w:rPr>
          <w:rFonts w:ascii="Century Gothic" w:hAnsi="Century Gothic" w:cs="Century Gothic"/>
          <w:sz w:val="24"/>
          <w:szCs w:val="24"/>
        </w:rPr>
        <w:t>auf den Coronavirus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erweitert (</w:t>
      </w:r>
      <w:proofErr w:type="spellStart"/>
      <w:r>
        <w:rPr>
          <w:rFonts w:ascii="Century Gothic" w:hAnsi="Century Gothic" w:cs="Century Gothic"/>
          <w:sz w:val="24"/>
          <w:szCs w:val="24"/>
        </w:rPr>
        <w:t>CoronaVMeldeV</w:t>
      </w:r>
      <w:proofErr w:type="spellEnd"/>
      <w:r>
        <w:rPr>
          <w:rFonts w:ascii="Century Gothic" w:hAnsi="Century Gothic" w:cs="Century Gothic"/>
          <w:sz w:val="24"/>
          <w:szCs w:val="24"/>
        </w:rPr>
        <w:t>).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 w:rsidR="003C7289">
        <w:rPr>
          <w:rFonts w:ascii="Century Gothic" w:hAnsi="Century Gothic" w:cs="Century Gothic"/>
          <w:sz w:val="24"/>
          <w:szCs w:val="24"/>
        </w:rPr>
        <w:br/>
      </w:r>
      <w:r>
        <w:rPr>
          <w:rFonts w:ascii="Century Gothic" w:hAnsi="Century Gothic" w:cs="Century Gothic"/>
          <w:sz w:val="24"/>
          <w:szCs w:val="24"/>
        </w:rPr>
        <w:t>Im Falle eines Vorfalls ist der Mieter nach §§ 16 ff. IfSG zur Duldung des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Betretens durch zuständiges Fachpersonal, insb. für Desinfektionsmaßnahmen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sowie Ortseinschließungen, verpflichtet.</w:t>
      </w:r>
      <w:r w:rsidR="003C7289">
        <w:rPr>
          <w:rFonts w:ascii="Century Gothic" w:hAnsi="Century Gothic" w:cs="Century Gothic"/>
          <w:sz w:val="24"/>
          <w:szCs w:val="24"/>
        </w:rPr>
        <w:br/>
      </w:r>
      <w:r>
        <w:rPr>
          <w:rFonts w:ascii="Century Gothic" w:hAnsi="Century Gothic" w:cs="Century Gothic"/>
          <w:sz w:val="24"/>
          <w:szCs w:val="24"/>
        </w:rPr>
        <w:t>In besonders dringlichen Fällen kann ggf. auch die Schließung von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Räumlichkeiten oder ganzen Gebäuden, bzw. die Untersagung der Nutzung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von Gebäuden erfolgen. Mieter und Vermieter sollten darauf achten, dass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gemäß § 16 IfSG auch die Einsichtnahme und Kopie von Büchern und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anderen Unterlagen zur Ermittlung von Verdachtsfällen zulässig ist. Im Zweifel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sollten daher Geschäftsgeheimnisse und andere wichtige Unterlagen separat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aufbewahrt werden. Für Betreiber von Unterbringungs-, Betreuungs-,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Ausbildungs- und Pflegeeinrichtungen bestehen daneben auch besondere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Handlungspflichten, etwa zur Aufstellung von Plänen zur Infektionshygiene.</w:t>
      </w:r>
    </w:p>
    <w:p w14:paraId="3FBF7BEB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D37D4CC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0D1EFEBD" w14:textId="71EB8500" w:rsidR="00A13DC7" w:rsidRPr="00D21E28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D21E28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Reinigung der Gemeinschaftsbereiche des Gebäudes</w:t>
      </w:r>
    </w:p>
    <w:p w14:paraId="735A4A9B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3105BA6C" w14:textId="10BE85A9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Der Mieter übernimmt die </w:t>
      </w:r>
      <w:r>
        <w:rPr>
          <w:rFonts w:ascii="Century Gothic,Bold" w:hAnsi="Century Gothic,Bold" w:cs="Century Gothic,Bold"/>
          <w:b/>
          <w:bCs/>
          <w:sz w:val="24"/>
          <w:szCs w:val="24"/>
        </w:rPr>
        <w:t xml:space="preserve">alleinige Verantwortung </w:t>
      </w:r>
      <w:r>
        <w:rPr>
          <w:rFonts w:ascii="Century Gothic" w:hAnsi="Century Gothic" w:cs="Century Gothic"/>
          <w:sz w:val="24"/>
          <w:szCs w:val="24"/>
        </w:rPr>
        <w:t>für die Reinigung der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Gemeinschaftsbereiche des Gebäudes; hierzu zählen Eingangsbereiche,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Treppenhäuser, Toiletten, Gebäudeeingänge, Belüftung etc. Die hierfür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anfallenden Kosten trägt der Mieter selbst.</w:t>
      </w:r>
    </w:p>
    <w:p w14:paraId="7A471053" w14:textId="65B27393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Eine Verpflichtung zur Durchführung rein prophylaktischer Maßnahmen des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Vermieters besteht jedoch nicht. Denn im Regelfall schuldet der Vermieter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lediglich die Zurverfügungstellung eines Gebäudes, in dem die Mieter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entsprechend ihrem jeweiligen Mietzweck ihren Betrieb führen können, nicht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jedoch eine vollständig sterile Umgebung für seine Mieter.</w:t>
      </w:r>
    </w:p>
    <w:p w14:paraId="474C2C45" w14:textId="07B979F4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71884301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21A33EB9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</w:p>
    <w:p w14:paraId="2B98D52D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</w:p>
    <w:p w14:paraId="134A398A" w14:textId="0EAA0545" w:rsidR="00A13DC7" w:rsidRPr="00D21E28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D21E28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Rechtliche Folgen der Nichtüberlassung einer Mietsache durch den Vermieter</w:t>
      </w:r>
    </w:p>
    <w:p w14:paraId="218E2080" w14:textId="77777777" w:rsidR="00A13DC7" w:rsidRPr="00D21E28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D21E28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infolge behördlicher Anordnung</w:t>
      </w:r>
    </w:p>
    <w:p w14:paraId="6E8537C5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267D6981" w14:textId="2457AA20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Der Vermieter ist nach § 535 Abs. 1 S. 1 BGB dazu verpflichtet, dem Mieter den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Gebrauch der Mietsache während der Mietzeit zu gewähren. In einem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lastRenderedPageBreak/>
        <w:t>anlassbezogenen Fall kann die zuständige Behörde einem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Gebäudeeigentümer bzw. Vermieter auf Grundlage des IfSG verpflichten, die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notwendigen Maßnahmen zur Abwendung drohender Gefahren zu treffen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(§§ 16, 28 IfSG, im Folgenden behördliche Anordnung). Dies sind bspw. </w:t>
      </w:r>
      <w:r w:rsidR="00797410">
        <w:rPr>
          <w:rFonts w:ascii="Century Gothic" w:hAnsi="Century Gothic" w:cs="Century Gothic"/>
          <w:sz w:val="24"/>
          <w:szCs w:val="24"/>
        </w:rPr>
        <w:t>D</w:t>
      </w:r>
      <w:r>
        <w:rPr>
          <w:rFonts w:ascii="Century Gothic" w:hAnsi="Century Gothic" w:cs="Century Gothic"/>
          <w:sz w:val="24"/>
          <w:szCs w:val="24"/>
        </w:rPr>
        <w:t>ie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Schließungen einzelner Räumlichkeiten oder ganzer Gebäude als Maßnahme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zur Eindämmung der Infizierungen mit dem Corona-Virus.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Im Fall einer von der zuständigen Behörde angeordneten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Nutzungsuntersagung sind zudem besondere Rechtsfolgen zu beachten:</w:t>
      </w:r>
    </w:p>
    <w:p w14:paraId="69C1E2AD" w14:textId="77777777" w:rsidR="00D21E28" w:rsidRDefault="00D21E28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208F61E4" w14:textId="77777777" w:rsidR="00D21E28" w:rsidRDefault="00A13DC7" w:rsidP="0079741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 w:rsidRPr="00D21E28">
        <w:rPr>
          <w:rFonts w:ascii="Century Gothic" w:hAnsi="Century Gothic" w:cs="Century Gothic"/>
          <w:sz w:val="24"/>
          <w:szCs w:val="24"/>
        </w:rPr>
        <w:t>Ergeht die behördliche Anordnung vor Übergabe des</w:t>
      </w:r>
      <w:r w:rsidR="00D21E28" w:rsidRPr="00D21E28">
        <w:rPr>
          <w:rFonts w:ascii="Century Gothic" w:hAnsi="Century Gothic" w:cs="Century Gothic"/>
          <w:sz w:val="24"/>
          <w:szCs w:val="24"/>
        </w:rPr>
        <w:t xml:space="preserve"> </w:t>
      </w:r>
      <w:r w:rsidRPr="00D21E28">
        <w:rPr>
          <w:rFonts w:ascii="Century Gothic" w:hAnsi="Century Gothic" w:cs="Century Gothic"/>
          <w:sz w:val="24"/>
          <w:szCs w:val="24"/>
        </w:rPr>
        <w:t>Mietgegenstandes, ist der Vermieter wegen Unmöglichkeit der</w:t>
      </w:r>
      <w:r w:rsidR="00D21E28" w:rsidRPr="00D21E28">
        <w:rPr>
          <w:rFonts w:ascii="Century Gothic" w:hAnsi="Century Gothic" w:cs="Century Gothic"/>
          <w:sz w:val="24"/>
          <w:szCs w:val="24"/>
        </w:rPr>
        <w:t xml:space="preserve"> </w:t>
      </w:r>
      <w:r w:rsidRPr="00D21E28">
        <w:rPr>
          <w:rFonts w:ascii="Century Gothic" w:hAnsi="Century Gothic" w:cs="Century Gothic"/>
          <w:sz w:val="24"/>
          <w:szCs w:val="24"/>
        </w:rPr>
        <w:t>Überlassung nicht zur Gebrauchsgewährung verpflichtet; er verliert in</w:t>
      </w:r>
      <w:r w:rsidR="00D21E28" w:rsidRPr="00D21E28">
        <w:rPr>
          <w:rFonts w:ascii="Century Gothic" w:hAnsi="Century Gothic" w:cs="Century Gothic"/>
          <w:sz w:val="24"/>
          <w:szCs w:val="24"/>
        </w:rPr>
        <w:t xml:space="preserve"> </w:t>
      </w:r>
      <w:r w:rsidRPr="00D21E28">
        <w:rPr>
          <w:rFonts w:ascii="Century Gothic" w:hAnsi="Century Gothic" w:cs="Century Gothic"/>
          <w:sz w:val="24"/>
          <w:szCs w:val="24"/>
        </w:rPr>
        <w:t>diesem Fall den Anspruch auf die Miete. Daneben stehen dem Mieter</w:t>
      </w:r>
      <w:r w:rsidR="00D21E28" w:rsidRPr="00D21E28">
        <w:rPr>
          <w:rFonts w:ascii="Century Gothic" w:hAnsi="Century Gothic" w:cs="Century Gothic"/>
          <w:sz w:val="24"/>
          <w:szCs w:val="24"/>
        </w:rPr>
        <w:t xml:space="preserve"> </w:t>
      </w:r>
      <w:r w:rsidRPr="00D21E28">
        <w:rPr>
          <w:rFonts w:ascii="Century Gothic" w:hAnsi="Century Gothic" w:cs="Century Gothic"/>
          <w:sz w:val="24"/>
          <w:szCs w:val="24"/>
        </w:rPr>
        <w:t>u.U. Schadensersatzansprüche zu, welche jedoch regelmäßig mangels</w:t>
      </w:r>
      <w:r w:rsidR="00D21E28" w:rsidRPr="00D21E28">
        <w:rPr>
          <w:rFonts w:ascii="Century Gothic" w:hAnsi="Century Gothic" w:cs="Century Gothic"/>
          <w:sz w:val="24"/>
          <w:szCs w:val="24"/>
        </w:rPr>
        <w:t xml:space="preserve"> </w:t>
      </w:r>
      <w:r w:rsidRPr="00D21E28">
        <w:rPr>
          <w:rFonts w:ascii="Century Gothic" w:hAnsi="Century Gothic" w:cs="Century Gothic"/>
          <w:sz w:val="24"/>
          <w:szCs w:val="24"/>
        </w:rPr>
        <w:t>Verschuldens des Vermieters ausscheiden.</w:t>
      </w:r>
    </w:p>
    <w:p w14:paraId="6EF42D93" w14:textId="1443EBA2" w:rsidR="00A13DC7" w:rsidRDefault="00A13DC7" w:rsidP="0079741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 w:rsidRPr="003C7289">
        <w:rPr>
          <w:rFonts w:ascii="Century Gothic" w:hAnsi="Century Gothic" w:cs="Century Gothic"/>
          <w:sz w:val="24"/>
          <w:szCs w:val="24"/>
        </w:rPr>
        <w:t>Ergeht die behördliche Anordnung nach Übergabe des</w:t>
      </w:r>
      <w:r w:rsidR="00D21E28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Mietgegenstandes und ist der Vermieter daraufhin nicht mehr zur</w:t>
      </w:r>
      <w:r w:rsidR="00D21E28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Überlassung der Mietsache imstande, kann der Mieter sich auf seine</w:t>
      </w:r>
      <w:r w:rsidR="00D21E28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gesetzlichen Rechte berufen. Ist der Infektionseintritt allerdings durch</w:t>
      </w:r>
      <w:r w:rsidR="00D21E28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eine oder mehrere Personen der Mieter verursacht, entbindet dieses</w:t>
      </w:r>
      <w:r w:rsidR="00D21E28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den Mieter nicht von der Zahlungsverpflichtung.</w:t>
      </w:r>
      <w:r w:rsidR="003C7289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="003C7289" w:rsidRPr="003C7289">
        <w:rPr>
          <w:rFonts w:ascii="Century Gothic" w:hAnsi="Century Gothic" w:cs="Century Gothic"/>
          <w:sz w:val="24"/>
          <w:szCs w:val="24"/>
        </w:rPr>
        <w:br/>
      </w:r>
      <w:r w:rsidR="003C7289" w:rsidRPr="003C7289">
        <w:rPr>
          <w:rFonts w:ascii="Century Gothic" w:hAnsi="Century Gothic" w:cs="Century Gothic"/>
          <w:sz w:val="24"/>
          <w:szCs w:val="24"/>
        </w:rPr>
        <w:br/>
      </w:r>
      <w:r w:rsidRPr="003C7289">
        <w:rPr>
          <w:rFonts w:ascii="Century Gothic" w:hAnsi="Century Gothic" w:cs="Century Gothic"/>
          <w:sz w:val="24"/>
          <w:szCs w:val="24"/>
        </w:rPr>
        <w:t>Das gleiche gilt, wenn der Mieter für die behördliche Anordnung</w:t>
      </w:r>
      <w:r w:rsidR="003C7289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verantwortlich ist.</w:t>
      </w:r>
      <w:r w:rsidR="003C7289" w:rsidRPr="003C7289">
        <w:rPr>
          <w:rFonts w:ascii="Century Gothic" w:hAnsi="Century Gothic" w:cs="Century Gothic"/>
          <w:sz w:val="24"/>
          <w:szCs w:val="24"/>
        </w:rPr>
        <w:br/>
      </w:r>
      <w:r w:rsidR="003C7289" w:rsidRPr="003C7289">
        <w:rPr>
          <w:rFonts w:ascii="Century Gothic" w:hAnsi="Century Gothic" w:cs="Century Gothic"/>
          <w:sz w:val="24"/>
          <w:szCs w:val="24"/>
        </w:rPr>
        <w:br/>
      </w:r>
      <w:r w:rsidRPr="003C7289">
        <w:rPr>
          <w:rFonts w:ascii="Century Gothic" w:hAnsi="Century Gothic" w:cs="Century Gothic"/>
          <w:sz w:val="24"/>
          <w:szCs w:val="24"/>
        </w:rPr>
        <w:t>Ist der Mieter mit dem Corona-Virus infiziert und kann die Mietsache</w:t>
      </w:r>
      <w:r w:rsidR="003C7289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deshalb nicht nutzen, liegt dies in seinem persönlichen Risikobereich.</w:t>
      </w:r>
      <w:r w:rsidR="003C7289" w:rsidRPr="003C7289">
        <w:rPr>
          <w:rFonts w:ascii="Century Gothic" w:hAnsi="Century Gothic" w:cs="Century Gothic"/>
          <w:sz w:val="24"/>
          <w:szCs w:val="24"/>
        </w:rPr>
        <w:t xml:space="preserve"> </w:t>
      </w:r>
      <w:r w:rsidR="003C7289" w:rsidRPr="003C7289">
        <w:rPr>
          <w:rFonts w:ascii="Century Gothic" w:hAnsi="Century Gothic" w:cs="Century Gothic"/>
          <w:sz w:val="24"/>
          <w:szCs w:val="24"/>
        </w:rPr>
        <w:br/>
      </w:r>
      <w:r w:rsidRPr="003C7289">
        <w:rPr>
          <w:rFonts w:ascii="Century Gothic" w:hAnsi="Century Gothic" w:cs="Century Gothic"/>
          <w:sz w:val="24"/>
          <w:szCs w:val="24"/>
        </w:rPr>
        <w:t>§ 537 Abs. 1 BGB ordnet daher an, dass der Mieter dann weiterhin zur</w:t>
      </w:r>
      <w:r w:rsidR="003C7289">
        <w:rPr>
          <w:rFonts w:ascii="Century Gothic" w:hAnsi="Century Gothic" w:cs="Century Gothic"/>
          <w:sz w:val="24"/>
          <w:szCs w:val="24"/>
        </w:rPr>
        <w:t xml:space="preserve"> </w:t>
      </w:r>
      <w:r w:rsidRPr="003C7289">
        <w:rPr>
          <w:rFonts w:ascii="Century Gothic" w:hAnsi="Century Gothic" w:cs="Century Gothic"/>
          <w:sz w:val="24"/>
          <w:szCs w:val="24"/>
        </w:rPr>
        <w:t>Mietzahlung verpflichtet ist.</w:t>
      </w:r>
    </w:p>
    <w:p w14:paraId="0CB36AA4" w14:textId="0DBADD6E" w:rsidR="003C7289" w:rsidRDefault="003C7289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54CD72F7" w14:textId="77777777" w:rsidR="003C7289" w:rsidRPr="003C7289" w:rsidRDefault="003C7289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7BC4AC51" w14:textId="77777777" w:rsidR="00797410" w:rsidRDefault="00797410">
      <w:pPr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br w:type="page"/>
      </w:r>
    </w:p>
    <w:p w14:paraId="28854003" w14:textId="5F19CC6F" w:rsidR="00A13DC7" w:rsidRPr="003C7289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3C7289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Minderung der Miete</w:t>
      </w:r>
    </w:p>
    <w:p w14:paraId="368E9ACB" w14:textId="77777777" w:rsidR="003C7289" w:rsidRDefault="003C7289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5807158E" w14:textId="4BDF3519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Der Mieter ist berechtigt die Miete zu mindern, wenn ein wesentlicher Mangel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im Laufe der Mietzeit auftritt, der nicht in seinen Verantwortungsbereich fällt.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Die behördliche Anordnung enthält ein Verbot, das an die Benutzbarkeit oder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- im Falle einer Ortseinschließung - an die Lage des Mietobjekts knüpft. Durch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dieses behördliche Verbot wird unmittelbar die Eignung der Mietsache zum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vertragsgemäßen Gebrauch beeinträchtigt und der Mieter wird in seinem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Gebrauch eingeschränkt. Deshalb ist eine solche öffentlich-rechtliche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Nutzungsbeschränkung als nicht unerheblicher Sachmangel zu qualifizieren,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der den Mieter zu einer Minderung berechtigt.</w:t>
      </w:r>
      <w:r w:rsidR="003C7289">
        <w:rPr>
          <w:rFonts w:ascii="Century Gothic" w:hAnsi="Century Gothic" w:cs="Century Gothic"/>
          <w:sz w:val="24"/>
          <w:szCs w:val="24"/>
        </w:rPr>
        <w:br/>
      </w:r>
      <w:r w:rsidR="003C7289">
        <w:rPr>
          <w:rFonts w:ascii="Century Gothic" w:hAnsi="Century Gothic" w:cs="Century Gothic"/>
          <w:sz w:val="24"/>
          <w:szCs w:val="24"/>
        </w:rPr>
        <w:lastRenderedPageBreak/>
        <w:br/>
      </w:r>
    </w:p>
    <w:p w14:paraId="22D2CDBE" w14:textId="77777777" w:rsidR="00A13DC7" w:rsidRPr="003C7289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3C7289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Schadensersatzanspruch</w:t>
      </w:r>
    </w:p>
    <w:p w14:paraId="68A98DDD" w14:textId="7A5AA2D5" w:rsidR="00A13DC7" w:rsidRDefault="003C7289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br/>
      </w:r>
      <w:r w:rsidR="00A13DC7">
        <w:rPr>
          <w:rFonts w:ascii="Century Gothic" w:hAnsi="Century Gothic" w:cs="Century Gothic"/>
          <w:sz w:val="24"/>
          <w:szCs w:val="24"/>
        </w:rPr>
        <w:t>Mangels Verschuldens des Vermieters im Falle einer behördlichen Anordnung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 w:rsidR="00A13DC7">
        <w:rPr>
          <w:rFonts w:ascii="Century Gothic" w:hAnsi="Century Gothic" w:cs="Century Gothic"/>
          <w:sz w:val="24"/>
          <w:szCs w:val="24"/>
        </w:rPr>
        <w:t>auf Grundlage des Infektionsschutzgesetzes steht dem Mieter regelmäßig kein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 w:rsidR="00A13DC7">
        <w:rPr>
          <w:rFonts w:ascii="Century Gothic" w:hAnsi="Century Gothic" w:cs="Century Gothic"/>
          <w:sz w:val="24"/>
          <w:szCs w:val="24"/>
        </w:rPr>
        <w:t>Schadensersatzanspruch zu. Etwas anderes könnte nur dann gelten, wenn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 w:rsidR="00A13DC7">
        <w:rPr>
          <w:rFonts w:ascii="Century Gothic" w:hAnsi="Century Gothic" w:cs="Century Gothic"/>
          <w:sz w:val="24"/>
          <w:szCs w:val="24"/>
        </w:rPr>
        <w:t xml:space="preserve">der Vermieter die behördliche Anordnung verschuldet hat, bspw. </w:t>
      </w:r>
      <w:r w:rsidR="00797410">
        <w:rPr>
          <w:rFonts w:ascii="Century Gothic" w:hAnsi="Century Gothic" w:cs="Century Gothic"/>
          <w:sz w:val="24"/>
          <w:szCs w:val="24"/>
        </w:rPr>
        <w:t>D</w:t>
      </w:r>
      <w:r w:rsidR="00A13DC7">
        <w:rPr>
          <w:rFonts w:ascii="Century Gothic" w:hAnsi="Century Gothic" w:cs="Century Gothic"/>
          <w:sz w:val="24"/>
          <w:szCs w:val="24"/>
        </w:rPr>
        <w:t>urch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 w:rsidR="00A13DC7">
        <w:rPr>
          <w:rFonts w:ascii="Century Gothic" w:hAnsi="Century Gothic" w:cs="Century Gothic"/>
          <w:sz w:val="24"/>
          <w:szCs w:val="24"/>
        </w:rPr>
        <w:t>bewusste Zugänglichmachung des Gebäudes für infizierte Personen.</w:t>
      </w:r>
      <w:r>
        <w:rPr>
          <w:rFonts w:ascii="Century Gothic" w:hAnsi="Century Gothic" w:cs="Century Gothic"/>
          <w:sz w:val="24"/>
          <w:szCs w:val="24"/>
        </w:rPr>
        <w:br/>
      </w:r>
      <w:r>
        <w:rPr>
          <w:rFonts w:ascii="Century Gothic" w:hAnsi="Century Gothic" w:cs="Century Gothic"/>
          <w:sz w:val="24"/>
          <w:szCs w:val="24"/>
        </w:rPr>
        <w:br/>
      </w:r>
    </w:p>
    <w:p w14:paraId="4BB44475" w14:textId="1D547B9F" w:rsidR="00A13DC7" w:rsidRPr="003C7289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,Bold" w:hAnsi="Century Gothic,Bold" w:cs="Century Gothic,Bold"/>
          <w:b/>
          <w:bCs/>
          <w:sz w:val="24"/>
          <w:szCs w:val="24"/>
          <w:u w:val="single"/>
        </w:rPr>
      </w:pPr>
      <w:r w:rsidRPr="003C7289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t>Außerordentliche Kündigung</w:t>
      </w:r>
      <w:r w:rsidR="003C7289" w:rsidRPr="003C7289">
        <w:rPr>
          <w:rFonts w:ascii="Century Gothic,Bold" w:hAnsi="Century Gothic,Bold" w:cs="Century Gothic,Bold"/>
          <w:b/>
          <w:bCs/>
          <w:sz w:val="24"/>
          <w:szCs w:val="24"/>
          <w:u w:val="single"/>
        </w:rPr>
        <w:br/>
      </w:r>
    </w:p>
    <w:p w14:paraId="504D5706" w14:textId="0608EF5F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Der Mieter ist zur außerordentlichen fristlosen Kündigung des Mietverhältnisses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aus wichtigem Grund gem. § 543 Abs. 2 S. 1 Nr. 1 BGB berechtigt, soweit ihm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der vertragsgemäße Gebrauch ganz oder zum Teil nicht gewährt oder wieder</w:t>
      </w:r>
      <w:r w:rsidR="00797410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entzogen wird. Der Vermieter muss dabei kein Verschulden treffen.</w:t>
      </w:r>
    </w:p>
    <w:p w14:paraId="42105D7E" w14:textId="4D1754CF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797B9108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  <w:highlight w:val="yellow"/>
        </w:rPr>
      </w:pPr>
    </w:p>
    <w:p w14:paraId="08DF7C39" w14:textId="2BB27D3E" w:rsidR="00A13DC7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 w:rsidRPr="00797410">
        <w:rPr>
          <w:rFonts w:ascii="Century Gothic" w:hAnsi="Century Gothic" w:cs="Century Gothic"/>
          <w:sz w:val="24"/>
          <w:szCs w:val="24"/>
          <w:highlight w:val="yellow"/>
        </w:rPr>
        <w:t>Ort</w:t>
      </w:r>
      <w:r w:rsidR="00A13DC7">
        <w:rPr>
          <w:rFonts w:ascii="Century Gothic" w:hAnsi="Century Gothic" w:cs="Century Gothic"/>
          <w:sz w:val="24"/>
          <w:szCs w:val="24"/>
        </w:rPr>
        <w:t>, den __________</w:t>
      </w:r>
    </w:p>
    <w:p w14:paraId="3E2589AA" w14:textId="411F2389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62A3245F" w14:textId="1A5DFEA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22FF0012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3AA0FC31" w14:textId="77777777" w:rsidR="00797410" w:rsidRDefault="00797410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</w:p>
    <w:p w14:paraId="00AD5B32" w14:textId="4D020CDC" w:rsidR="00A13DC7" w:rsidRDefault="00A13DC7" w:rsidP="0079741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______________________ </w:t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>______________________</w:t>
      </w:r>
    </w:p>
    <w:p w14:paraId="3BEA6F5B" w14:textId="320F91ED" w:rsidR="009E2BA0" w:rsidRDefault="00A13DC7" w:rsidP="00797410">
      <w:pPr>
        <w:spacing w:line="276" w:lineRule="auto"/>
      </w:pPr>
      <w:r>
        <w:rPr>
          <w:rFonts w:ascii="Century Gothic" w:hAnsi="Century Gothic" w:cs="Century Gothic"/>
          <w:sz w:val="24"/>
          <w:szCs w:val="24"/>
        </w:rPr>
        <w:t xml:space="preserve">(Vermieter) </w:t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 w:rsidR="00797410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>(Mieter)</w:t>
      </w:r>
    </w:p>
    <w:sectPr w:rsidR="009E2B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DC82" w14:textId="77777777" w:rsidR="00797410" w:rsidRDefault="00797410" w:rsidP="00797410">
      <w:pPr>
        <w:spacing w:after="0" w:line="240" w:lineRule="auto"/>
      </w:pPr>
      <w:r>
        <w:separator/>
      </w:r>
    </w:p>
  </w:endnote>
  <w:endnote w:type="continuationSeparator" w:id="0">
    <w:p w14:paraId="598F8F4A" w14:textId="77777777" w:rsidR="00797410" w:rsidRDefault="00797410" w:rsidP="0079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56594" w14:textId="354A219B" w:rsidR="00797410" w:rsidRDefault="00797410">
    <w:pPr>
      <w:pStyle w:val="Fuzeile"/>
      <w:jc w:val="center"/>
    </w:pPr>
    <w:r>
      <w:t xml:space="preserve">- </w:t>
    </w:r>
    <w:sdt>
      <w:sdtPr>
        <w:id w:val="-5001196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3481DAC3" w14:textId="77777777" w:rsidR="00797410" w:rsidRDefault="007974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F1057" w14:textId="77777777" w:rsidR="00797410" w:rsidRDefault="00797410" w:rsidP="00797410">
      <w:pPr>
        <w:spacing w:after="0" w:line="240" w:lineRule="auto"/>
      </w:pPr>
      <w:r>
        <w:separator/>
      </w:r>
    </w:p>
  </w:footnote>
  <w:footnote w:type="continuationSeparator" w:id="0">
    <w:p w14:paraId="4E2C3492" w14:textId="77777777" w:rsidR="00797410" w:rsidRDefault="00797410" w:rsidP="0079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6EB5" w14:textId="77777777" w:rsidR="00797410" w:rsidRPr="00A13DC7" w:rsidRDefault="00797410" w:rsidP="00797410">
    <w:pPr>
      <w:autoSpaceDE w:val="0"/>
      <w:autoSpaceDN w:val="0"/>
      <w:adjustRightInd w:val="0"/>
      <w:spacing w:after="0" w:line="276" w:lineRule="auto"/>
      <w:jc w:val="center"/>
      <w:rPr>
        <w:rFonts w:ascii="Century Gothic,Bold" w:hAnsi="Century Gothic,Bold" w:cs="Century Gothic,Bold"/>
        <w:b/>
        <w:bCs/>
        <w:sz w:val="32"/>
        <w:szCs w:val="32"/>
        <w:u w:val="single"/>
      </w:rPr>
    </w:pPr>
    <w:r w:rsidRPr="00A13DC7">
      <w:rPr>
        <w:rFonts w:ascii="Century Gothic,Bold" w:hAnsi="Century Gothic,Bold" w:cs="Century Gothic,Bold"/>
        <w:b/>
        <w:bCs/>
        <w:sz w:val="32"/>
        <w:szCs w:val="32"/>
        <w:u w:val="single"/>
      </w:rPr>
      <w:t>Vorschriften bei der Vermietung von Schützenhallen durch</w:t>
    </w:r>
  </w:p>
  <w:p w14:paraId="2F30CFAD" w14:textId="77777777" w:rsidR="00797410" w:rsidRPr="00A13DC7" w:rsidRDefault="00797410" w:rsidP="00797410">
    <w:pPr>
      <w:autoSpaceDE w:val="0"/>
      <w:autoSpaceDN w:val="0"/>
      <w:adjustRightInd w:val="0"/>
      <w:spacing w:after="0" w:line="276" w:lineRule="auto"/>
      <w:jc w:val="center"/>
      <w:rPr>
        <w:rFonts w:ascii="Century Gothic,Bold" w:hAnsi="Century Gothic,Bold" w:cs="Century Gothic,Bold"/>
        <w:b/>
        <w:bCs/>
        <w:sz w:val="32"/>
        <w:szCs w:val="32"/>
        <w:u w:val="single"/>
      </w:rPr>
    </w:pPr>
    <w:r w:rsidRPr="00A13DC7">
      <w:rPr>
        <w:rFonts w:ascii="Century Gothic,Bold" w:hAnsi="Century Gothic,Bold" w:cs="Century Gothic,Bold"/>
        <w:b/>
        <w:bCs/>
        <w:sz w:val="32"/>
        <w:szCs w:val="32"/>
        <w:u w:val="single"/>
      </w:rPr>
      <w:t>Schützenvereine als Ergänzung zum jeweiligen Mietvertrag</w:t>
    </w:r>
  </w:p>
  <w:p w14:paraId="6DFDB5BC" w14:textId="77777777" w:rsidR="00797410" w:rsidRDefault="007974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F194C"/>
    <w:multiLevelType w:val="hybridMultilevel"/>
    <w:tmpl w:val="68A28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4865"/>
    <w:multiLevelType w:val="hybridMultilevel"/>
    <w:tmpl w:val="1794FD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7"/>
    <w:rsid w:val="003C7289"/>
    <w:rsid w:val="00797410"/>
    <w:rsid w:val="009E2BA0"/>
    <w:rsid w:val="00A13DC7"/>
    <w:rsid w:val="00D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BC6E"/>
  <w15:chartTrackingRefBased/>
  <w15:docId w15:val="{F142BF8F-1452-439F-AEDB-32671992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1E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410"/>
  </w:style>
  <w:style w:type="paragraph" w:styleId="Fuzeile">
    <w:name w:val="footer"/>
    <w:basedOn w:val="Standard"/>
    <w:link w:val="FuzeileZchn"/>
    <w:uiPriority w:val="99"/>
    <w:unhideWhenUsed/>
    <w:rsid w:val="0079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 Schmitz</dc:creator>
  <cp:keywords/>
  <dc:description/>
  <cp:lastModifiedBy>Wolfram Schmitz</cp:lastModifiedBy>
  <cp:revision>3</cp:revision>
  <dcterms:created xsi:type="dcterms:W3CDTF">2020-07-25T06:35:00Z</dcterms:created>
  <dcterms:modified xsi:type="dcterms:W3CDTF">2020-07-25T06:56:00Z</dcterms:modified>
</cp:coreProperties>
</file>